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45E" w14:textId="77777777" w:rsidR="001F4DE6" w:rsidRPr="00230670" w:rsidRDefault="001F4DE6" w:rsidP="001F4DE6">
      <w:pPr>
        <w:pStyle w:val="DarkList-Accent61"/>
        <w:jc w:val="center"/>
        <w:rPr>
          <w:sz w:val="10"/>
          <w:szCs w:val="10"/>
        </w:rPr>
      </w:pPr>
      <w:bookmarkStart w:id="0" w:name="OLE_LINK15"/>
      <w:bookmarkStart w:id="1" w:name="OLE_LINK16"/>
      <w:bookmarkStart w:id="2" w:name="OLE_LINK1"/>
      <w:bookmarkStart w:id="3" w:name="OLE_LINK4"/>
      <w:bookmarkStart w:id="4" w:name="OLE_LINK8"/>
      <w:bookmarkStart w:id="5" w:name="OLE_LINK13"/>
      <w:bookmarkStart w:id="6" w:name="OLE_LINK2"/>
      <w:bookmarkStart w:id="7" w:name="OLE_LINK14"/>
    </w:p>
    <w:p w14:paraId="6CBBF028" w14:textId="77777777" w:rsidR="001F4DE6" w:rsidRPr="00277D78" w:rsidRDefault="001F4DE6" w:rsidP="001F4DE6">
      <w:pPr>
        <w:pStyle w:val="DarkList-Accent61"/>
        <w:jc w:val="center"/>
        <w:rPr>
          <w:b/>
          <w:i/>
        </w:rPr>
      </w:pPr>
    </w:p>
    <w:p w14:paraId="00F931F6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Plans for Students/Parents/Guardians</w:t>
      </w:r>
    </w:p>
    <w:p w14:paraId="72FE4E8E" w14:textId="77777777" w:rsidR="001F4DE6" w:rsidRPr="00230670" w:rsidRDefault="001F4DE6" w:rsidP="001F4DE6">
      <w:pPr>
        <w:pStyle w:val="DarkList-Accent61"/>
        <w:jc w:val="center"/>
        <w:rPr>
          <w:b/>
          <w:sz w:val="10"/>
          <w:szCs w:val="10"/>
        </w:rPr>
      </w:pPr>
    </w:p>
    <w:tbl>
      <w:tblPr>
        <w:tblW w:w="10553" w:type="dxa"/>
        <w:jc w:val="center"/>
        <w:tblInd w:w="-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0"/>
        <w:gridCol w:w="3150"/>
        <w:gridCol w:w="5186"/>
      </w:tblGrid>
      <w:tr w:rsidR="001F4DE6" w:rsidRPr="00E83840" w14:paraId="46E05D50" w14:textId="77777777" w:rsidTr="00F4140B">
        <w:trPr>
          <w:trHeight w:val="270"/>
          <w:jc w:val="center"/>
        </w:trPr>
        <w:tc>
          <w:tcPr>
            <w:tcW w:w="10553" w:type="dxa"/>
            <w:gridSpan w:val="4"/>
            <w:shd w:val="clear" w:color="auto" w:fill="auto"/>
          </w:tcPr>
          <w:p w14:paraId="21189387" w14:textId="07151A79" w:rsidR="001F4DE6" w:rsidRPr="00E83840" w:rsidRDefault="001F4DE6" w:rsidP="00CB24CA">
            <w:pPr>
              <w:pStyle w:val="DarkList-Accent61"/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2EA4">
              <w:rPr>
                <w:sz w:val="16"/>
                <w:szCs w:val="16"/>
              </w:rPr>
              <w:t xml:space="preserve">I can </w:t>
            </w:r>
            <w:r w:rsidR="00CB24CA">
              <w:rPr>
                <w:sz w:val="16"/>
                <w:szCs w:val="16"/>
              </w:rPr>
              <w:t xml:space="preserve">evaluate movie scenes and plan a music video. </w:t>
            </w:r>
          </w:p>
        </w:tc>
      </w:tr>
      <w:tr w:rsidR="001F4DE6" w:rsidRPr="00E83840" w14:paraId="08C9FB68" w14:textId="77777777" w:rsidTr="00F4140B">
        <w:trPr>
          <w:trHeight w:val="36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2868938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EF0E7EE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0AFE644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Mexico</w:t>
            </w:r>
            <w:r w:rsidRPr="00E83840">
              <w:rPr>
                <w:b/>
                <w:color w:val="000000"/>
              </w:rPr>
              <w:t xml:space="preserve"> Standards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5C5A21A7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83840">
              <w:rPr>
                <w:b/>
                <w:color w:val="000000"/>
              </w:rPr>
              <w:t xml:space="preserve">What we </w:t>
            </w:r>
            <w:r w:rsidRPr="00E83840">
              <w:rPr>
                <w:b/>
                <w:color w:val="000000"/>
                <w:u w:val="single"/>
              </w:rPr>
              <w:t>PLAN</w:t>
            </w:r>
            <w:r w:rsidRPr="00E83840">
              <w:rPr>
                <w:b/>
                <w:color w:val="000000"/>
              </w:rPr>
              <w:t xml:space="preserve"> to do:</w:t>
            </w:r>
          </w:p>
        </w:tc>
      </w:tr>
      <w:tr w:rsidR="00ED37E8" w:rsidRPr="00E83840" w14:paraId="05CF6728" w14:textId="77777777" w:rsidTr="00F4140B">
        <w:trPr>
          <w:trHeight w:val="567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47BE824C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97C51" w14:textId="2D0844D9" w:rsidR="00ED37E8" w:rsidRPr="00B36AA0" w:rsidRDefault="00CB24CA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04/03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C40077" w14:textId="77777777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0543200C" w14:textId="4B529166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  <w:p w14:paraId="7B312022" w14:textId="3F36AAFE" w:rsidR="00ED37E8" w:rsidRPr="00911C27" w:rsidRDefault="00ED37E8" w:rsidP="00E83815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6AAA5E6" w14:textId="77777777" w:rsidR="00ED37E8" w:rsidRPr="00911C27" w:rsidRDefault="00ED37E8" w:rsidP="00F4140B">
            <w:pPr>
              <w:spacing w:after="0" w:line="240" w:lineRule="auto"/>
              <w:rPr>
                <w:sz w:val="15"/>
                <w:szCs w:val="15"/>
              </w:rPr>
            </w:pPr>
          </w:p>
          <w:p w14:paraId="4208C85A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7C86A2BE" w14:textId="541E5FE3" w:rsidR="003B3FB2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Miss Golden will pass out progress reports. </w:t>
            </w:r>
          </w:p>
          <w:p w14:paraId="65FAF40B" w14:textId="7AE91C0F" w:rsidR="003B3FB2" w:rsidRDefault="00C33490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Finish or begin evaluating the movie scene re-creations.</w:t>
            </w:r>
          </w:p>
          <w:p w14:paraId="5BE65A91" w14:textId="35FA98FF" w:rsidR="00C33490" w:rsidRPr="000A386D" w:rsidRDefault="00C33490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Discuss the importance of time management.</w:t>
            </w:r>
          </w:p>
          <w:p w14:paraId="6771318B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1EE301F9" w14:textId="41AD141A" w:rsidR="00ED37E8" w:rsidRPr="00911C27" w:rsidRDefault="00ED37E8" w:rsidP="002620E3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0EB4BBE" w14:textId="77777777" w:rsidTr="00F4140B">
        <w:trPr>
          <w:trHeight w:val="963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0B517C4" w14:textId="2F2D54E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E5D7074" w14:textId="43AC4C0D" w:rsidR="00ED37E8" w:rsidRPr="00476FCA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04/04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F4AA658" w14:textId="77777777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722879E8" w14:textId="5DDC502A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6D9914A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9B99ACB" w14:textId="77777777" w:rsidR="00C33490" w:rsidRPr="00911C27" w:rsidRDefault="00C33490" w:rsidP="00C33490">
            <w:pPr>
              <w:pStyle w:val="MediumGrid2-Accent11"/>
              <w:numPr>
                <w:ilvl w:val="0"/>
                <w:numId w:val="27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120A2F42" w14:textId="5CCFD64B" w:rsidR="00C33490" w:rsidRDefault="00C33490" w:rsidP="00C33490">
            <w:pPr>
              <w:pStyle w:val="MediumGrid2-Accent11"/>
              <w:numPr>
                <w:ilvl w:val="0"/>
                <w:numId w:val="27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Finish </w:t>
            </w:r>
            <w:r>
              <w:rPr>
                <w:sz w:val="15"/>
                <w:szCs w:val="15"/>
              </w:rPr>
              <w:t>evaluating the movie scene re-creations.</w:t>
            </w:r>
          </w:p>
          <w:p w14:paraId="0E1862AD" w14:textId="77777777" w:rsidR="00C33490" w:rsidRPr="00911C27" w:rsidRDefault="00C33490" w:rsidP="00C33490">
            <w:pPr>
              <w:pStyle w:val="MediumGrid2-Accent11"/>
              <w:numPr>
                <w:ilvl w:val="0"/>
                <w:numId w:val="27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66D79ED" w14:textId="018410D5" w:rsidR="00ED37E8" w:rsidRPr="00911C27" w:rsidRDefault="00ED37E8" w:rsidP="00354C8F">
            <w:pPr>
              <w:pStyle w:val="MediumGrid2-Accent11"/>
              <w:ind w:left="378"/>
              <w:rPr>
                <w:sz w:val="15"/>
                <w:szCs w:val="15"/>
              </w:rPr>
            </w:pPr>
          </w:p>
        </w:tc>
      </w:tr>
      <w:tr w:rsidR="00ED37E8" w:rsidRPr="00E83840" w14:paraId="4176D580" w14:textId="77777777" w:rsidTr="00F4140B">
        <w:trPr>
          <w:trHeight w:val="999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6DC59F46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25CF" w14:textId="151727FF" w:rsidR="00ED37E8" w:rsidRPr="00476FCA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C346E6" w14:textId="7777777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3883B115" w14:textId="7777777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F2D5011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13F827B6" w14:textId="703EA060" w:rsidR="00DC69B7" w:rsidRPr="00911C27" w:rsidRDefault="00DC69B7" w:rsidP="008B6651">
            <w:pPr>
              <w:pStyle w:val="MediumGrid2-Accent11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32183035" w14:textId="23CC426A" w:rsidR="00DC69B7" w:rsidRPr="000A386D" w:rsidRDefault="00566440" w:rsidP="008B6651">
            <w:pPr>
              <w:pStyle w:val="MediumGrid2-Accent11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Discuss and begin planning the music videos.</w:t>
            </w:r>
          </w:p>
          <w:p w14:paraId="64FE38D8" w14:textId="77777777" w:rsidR="00DC69B7" w:rsidRPr="00911C27" w:rsidRDefault="00DC69B7" w:rsidP="008B6651">
            <w:pPr>
              <w:pStyle w:val="MediumGrid2-Accent11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73F4640" w14:textId="77777777" w:rsidR="00ED37E8" w:rsidRPr="00A0218C" w:rsidRDefault="00ED37E8" w:rsidP="00F4140B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9231F7C" w14:textId="77777777" w:rsidTr="00F4140B">
        <w:trPr>
          <w:trHeight w:val="1269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6E95796" w14:textId="5C494F1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0D1BEEE" w14:textId="07592640" w:rsidR="00ED37E8" w:rsidRPr="00476FCA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04/06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7431F455" w14:textId="77777777" w:rsidR="00ED37E8" w:rsidRPr="00911C27" w:rsidRDefault="00ED37E8" w:rsidP="007A1E2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2C17023F" w14:textId="3B776787" w:rsidR="00ED37E8" w:rsidRPr="00F4140B" w:rsidRDefault="00ED37E8" w:rsidP="007A1E2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09BDED47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1D4D9EF4" w14:textId="77777777" w:rsidR="00566440" w:rsidRPr="00911C27" w:rsidRDefault="00566440" w:rsidP="00566440">
            <w:pPr>
              <w:pStyle w:val="MediumGrid2-Accent11"/>
              <w:numPr>
                <w:ilvl w:val="0"/>
                <w:numId w:val="28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45D7BB80" w14:textId="442B043E" w:rsidR="00566440" w:rsidRPr="000A386D" w:rsidRDefault="00566440" w:rsidP="00566440">
            <w:pPr>
              <w:pStyle w:val="MediumGrid2-Accent11"/>
              <w:numPr>
                <w:ilvl w:val="0"/>
                <w:numId w:val="28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Discuss and </w:t>
            </w:r>
            <w:r>
              <w:rPr>
                <w:sz w:val="15"/>
                <w:szCs w:val="15"/>
              </w:rPr>
              <w:t>continue</w:t>
            </w:r>
            <w:r>
              <w:rPr>
                <w:sz w:val="15"/>
                <w:szCs w:val="15"/>
              </w:rPr>
              <w:t xml:space="preserve"> planning the music videos.</w:t>
            </w:r>
          </w:p>
          <w:p w14:paraId="0040F492" w14:textId="77777777" w:rsidR="00566440" w:rsidRPr="00911C27" w:rsidRDefault="00566440" w:rsidP="00566440">
            <w:pPr>
              <w:pStyle w:val="MediumGrid2-Accent11"/>
              <w:numPr>
                <w:ilvl w:val="0"/>
                <w:numId w:val="28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51F5AE0E" w14:textId="1D637C05" w:rsidR="00ED37E8" w:rsidRPr="00911C27" w:rsidRDefault="00ED37E8" w:rsidP="007A1E2A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14E9EFED" w14:textId="77777777" w:rsidTr="00DC69B7">
        <w:trPr>
          <w:trHeight w:val="1413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337BAE11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189BC" w14:textId="50F6407B" w:rsidR="00ED37E8" w:rsidRPr="00476FCA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D472104" w14:textId="77777777" w:rsidR="00DC69B7" w:rsidRPr="00911C27" w:rsidRDefault="00DC69B7" w:rsidP="00DC69B7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147612B2" w14:textId="6263FB20" w:rsidR="00ED37E8" w:rsidRPr="00911C27" w:rsidRDefault="00DC69B7" w:rsidP="00DC69B7">
            <w:pPr>
              <w:rPr>
                <w:color w:val="000000"/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8FE217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97DA8E1" w14:textId="77777777" w:rsidR="00566440" w:rsidRPr="00911C27" w:rsidRDefault="00566440" w:rsidP="00566440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54C47F80" w14:textId="77777777" w:rsidR="00566440" w:rsidRDefault="00566440" w:rsidP="00566440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Discuss and continue planning the music videos.</w:t>
            </w:r>
          </w:p>
          <w:p w14:paraId="337D6B60" w14:textId="1CD21DC5" w:rsidR="006E184F" w:rsidRPr="006E184F" w:rsidRDefault="006E184F" w:rsidP="00566440">
            <w:pPr>
              <w:pStyle w:val="MediumGrid2-Accent11"/>
              <w:numPr>
                <w:ilvl w:val="0"/>
                <w:numId w:val="24"/>
              </w:numPr>
              <w:rPr>
                <w:b/>
                <w:sz w:val="15"/>
                <w:szCs w:val="15"/>
              </w:rPr>
            </w:pPr>
            <w:r w:rsidRPr="006E184F">
              <w:rPr>
                <w:b/>
                <w:sz w:val="15"/>
                <w:szCs w:val="15"/>
              </w:rPr>
              <w:t>Your music plann</w:t>
            </w:r>
            <w:bookmarkStart w:id="8" w:name="_GoBack"/>
            <w:bookmarkEnd w:id="8"/>
            <w:r w:rsidRPr="006E184F">
              <w:rPr>
                <w:b/>
                <w:sz w:val="15"/>
                <w:szCs w:val="15"/>
              </w:rPr>
              <w:t xml:space="preserve">ing video is due by the end of class today through Google Classroom. </w:t>
            </w:r>
          </w:p>
          <w:p w14:paraId="275C2451" w14:textId="6E26614E" w:rsidR="00ED37E8" w:rsidRPr="00566440" w:rsidRDefault="00566440" w:rsidP="00566440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</w:tc>
      </w:tr>
    </w:tbl>
    <w:p w14:paraId="49F2283A" w14:textId="77777777" w:rsidR="005F0BFF" w:rsidRPr="00277D78" w:rsidRDefault="005F0BFF" w:rsidP="001F4DE6">
      <w:pPr>
        <w:pStyle w:val="DarkList-Accent61"/>
        <w:jc w:val="center"/>
        <w:rPr>
          <w:b/>
          <w:i/>
        </w:rPr>
      </w:pPr>
    </w:p>
    <w:p w14:paraId="0BFAD3D4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09D29AF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1562B1F" w14:textId="77777777" w:rsidR="00DE6953" w:rsidRDefault="00DE6953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DDF813E" w14:textId="77777777" w:rsidR="00DE6953" w:rsidRDefault="00DE6953" w:rsidP="00354C8F">
      <w:pPr>
        <w:pStyle w:val="DarkList-Accent61"/>
        <w:rPr>
          <w:b/>
          <w:i/>
          <w:sz w:val="28"/>
          <w:szCs w:val="28"/>
        </w:rPr>
      </w:pPr>
    </w:p>
    <w:p w14:paraId="62C89E3B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456B3971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06833F9C" w14:textId="77777777" w:rsidR="002A39E3" w:rsidRDefault="002A39E3" w:rsidP="00DC69B7">
      <w:pPr>
        <w:pStyle w:val="DarkList-Accent61"/>
        <w:rPr>
          <w:b/>
          <w:i/>
          <w:sz w:val="28"/>
          <w:szCs w:val="28"/>
        </w:rPr>
      </w:pPr>
    </w:p>
    <w:p w14:paraId="6EABB837" w14:textId="77777777" w:rsidR="005F396B" w:rsidRDefault="005F396B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C5173E3" w14:textId="77777777" w:rsidR="003B3FB2" w:rsidRDefault="003B3FB2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FA863DD" w14:textId="77777777" w:rsidR="001F4DE6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 w:rsidRPr="00E4552F">
        <w:rPr>
          <w:b/>
          <w:i/>
          <w:sz w:val="28"/>
          <w:szCs w:val="28"/>
        </w:rPr>
        <w:t>Journal (GOT) Topics</w:t>
      </w:r>
    </w:p>
    <w:p w14:paraId="2A0C0082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</w:p>
    <w:tbl>
      <w:tblPr>
        <w:tblW w:w="10867" w:type="dxa"/>
        <w:jc w:val="center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90"/>
        <w:gridCol w:w="1170"/>
        <w:gridCol w:w="7413"/>
      </w:tblGrid>
      <w:tr w:rsidR="001F4DE6" w:rsidRPr="004018AD" w14:paraId="59114F4B" w14:textId="77777777" w:rsidTr="00F4140B">
        <w:trPr>
          <w:trHeight w:val="345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297C525F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170C381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E090027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Entry Number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3A57E5A2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Topics</w:t>
            </w:r>
          </w:p>
        </w:tc>
      </w:tr>
      <w:tr w:rsidR="00CB24CA" w:rsidRPr="004018AD" w14:paraId="501BE276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081BC91D" w14:textId="77777777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F2159" w14:textId="7F3D3F11" w:rsidR="00CB24CA" w:rsidRPr="00B36AA0" w:rsidRDefault="00CB24CA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04/03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1591" w14:textId="77777777" w:rsidR="00CB24CA" w:rsidRPr="00476FCA" w:rsidRDefault="00CB24CA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55628DDE" w14:textId="77777777" w:rsidR="00CB24CA" w:rsidRDefault="00CB24CA" w:rsidP="008A6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74BD36" w14:textId="77777777" w:rsidR="00CB24CA" w:rsidRDefault="00CB24CA" w:rsidP="002620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8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protector in your homework folder.</w:t>
            </w:r>
          </w:p>
          <w:p w14:paraId="0B40CD97" w14:textId="7CEA2FFC" w:rsidR="00CB24CA" w:rsidRPr="00AB20D3" w:rsidRDefault="00CB24CA" w:rsidP="00354C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4CA" w:rsidRPr="004018AD" w14:paraId="4BF51212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58CBA314" w14:textId="77777777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173C2AC8" w14:textId="5F843E27" w:rsidR="00CB24CA" w:rsidRPr="00476FCA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04/04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A41FF70" w14:textId="1154C003" w:rsidR="00CB24CA" w:rsidRPr="00476FCA" w:rsidRDefault="00CB24CA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110552C8" w14:textId="77777777" w:rsidR="00CB24CA" w:rsidRDefault="00CB24CA" w:rsidP="00F43C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2483F45" w14:textId="77777777" w:rsidR="00CB24CA" w:rsidRPr="009C2C51" w:rsidRDefault="00CB24CA" w:rsidP="00BF750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List THREE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1FC40078" w14:textId="4F916B0C" w:rsidR="00CB24CA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5 and list THREE new facts that you did not know about iMovie based on the information on that page.</w:t>
            </w:r>
          </w:p>
          <w:p w14:paraId="65A02695" w14:textId="0FE1CCB5" w:rsidR="00CB24CA" w:rsidRPr="00AB20D3" w:rsidRDefault="00CB24CA" w:rsidP="00753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4CA" w:rsidRPr="004018AD" w14:paraId="1BFB49C2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13C3249E" w14:textId="2C22B1AE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08057" w14:textId="1AAD6D17" w:rsidR="00CB24CA" w:rsidRPr="00476FCA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85342" w14:textId="7B56EF54" w:rsidR="00CB24CA" w:rsidRPr="00476FCA" w:rsidRDefault="00CB24CA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7BB8531C" w14:textId="77777777" w:rsidR="00CB24CA" w:rsidRDefault="00CB24CA" w:rsidP="00664A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8AF9087" w14:textId="77777777" w:rsidR="00CB24CA" w:rsidRPr="009C2C51" w:rsidRDefault="00CB24CA" w:rsidP="00BF750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List THREE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0542AFCF" w14:textId="40A9E732" w:rsidR="00CB24CA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6 and list THREE new facts that you did not know about iMovie based on the information on that page.</w:t>
            </w:r>
          </w:p>
          <w:p w14:paraId="61DAA510" w14:textId="709AFF57" w:rsidR="00CB24CA" w:rsidRPr="00AB20D3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4CA" w:rsidRPr="004018AD" w14:paraId="3B0B98AB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12494B68" w14:textId="6A5F4DC5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0DE838A" w14:textId="25A731FB" w:rsidR="00CB24CA" w:rsidRPr="00476FCA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04/06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136905CD" w14:textId="51286B37" w:rsidR="00CB24CA" w:rsidRPr="00476FCA" w:rsidRDefault="00CB24CA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7E44DD95" w14:textId="77777777" w:rsidR="00CB24CA" w:rsidRPr="009C2C51" w:rsidRDefault="00CB24CA" w:rsidP="00DE695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55E447F7" w14:textId="21E7EEAB" w:rsidR="00CB24CA" w:rsidRPr="009C2C51" w:rsidRDefault="00CB24CA" w:rsidP="003B3FB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List THREE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31A9AF3D" w14:textId="033A2805" w:rsidR="00CB24CA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7 and list THREE new facts that you did not know about iMovie based on the information on that page.</w:t>
            </w:r>
          </w:p>
          <w:p w14:paraId="72622AA9" w14:textId="3E25AA06" w:rsidR="00CB24CA" w:rsidRPr="00DE6953" w:rsidRDefault="00CB24CA" w:rsidP="00664A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B24CA" w:rsidRPr="004018AD" w14:paraId="415EFBE0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46ECBAF4" w14:textId="40B961FD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CEC86" w14:textId="0765B887" w:rsidR="00CB24CA" w:rsidRPr="00476FCA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87E8" w14:textId="7173BA23" w:rsidR="00CB24CA" w:rsidRPr="00476FCA" w:rsidRDefault="00CB24CA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3B330A53" w14:textId="77777777" w:rsidR="00CB24CA" w:rsidRDefault="00CB24CA" w:rsidP="00354C8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46BEC41" w14:textId="77777777" w:rsidR="00CB24CA" w:rsidRDefault="00CB24CA" w:rsidP="003B3FB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Treat Yo’Self</w:t>
            </w:r>
          </w:p>
          <w:p w14:paraId="1D8128BD" w14:textId="3CDF825C" w:rsidR="00CB24CA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Log on to Google Classroom and watch the Friday treat.  </w:t>
            </w:r>
            <w:r w:rsidR="00660A90">
              <w:rPr>
                <w:color w:val="000000"/>
                <w:sz w:val="20"/>
                <w:szCs w:val="20"/>
              </w:rPr>
              <w:t xml:space="preserve">Write one sentence to describe this video, but you can only use seven words.  </w:t>
            </w:r>
          </w:p>
          <w:p w14:paraId="48B7770D" w14:textId="54856BB0" w:rsidR="00CB24CA" w:rsidRPr="00DE6953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3F18528" w14:textId="7F04A06A" w:rsidR="001F4DE6" w:rsidRDefault="001F4DE6" w:rsidP="001F4DE6">
      <w:pPr>
        <w:jc w:val="center"/>
        <w:rPr>
          <w:b/>
          <w:i/>
          <w:sz w:val="28"/>
          <w:szCs w:val="28"/>
        </w:rPr>
      </w:pPr>
    </w:p>
    <w:p w14:paraId="138E45FF" w14:textId="77777777" w:rsidR="001F4DE6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*You must write the entry number and date on each entry.</w:t>
      </w:r>
    </w:p>
    <w:p w14:paraId="542001DB" w14:textId="77777777" w:rsidR="001F4DE6" w:rsidRPr="00B85853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*If you are absent you must make-up the journals that you missed.</w:t>
      </w:r>
    </w:p>
    <w:p w14:paraId="6AF40D91" w14:textId="77777777" w:rsidR="00E35D20" w:rsidRDefault="00E35D20"/>
    <w:sectPr w:rsidR="00E35D20" w:rsidSect="00F414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B999B" w14:textId="77777777" w:rsidR="001765D0" w:rsidRDefault="001765D0" w:rsidP="001F4DE6">
      <w:pPr>
        <w:spacing w:after="0" w:line="240" w:lineRule="auto"/>
      </w:pPr>
      <w:r>
        <w:separator/>
      </w:r>
    </w:p>
  </w:endnote>
  <w:endnote w:type="continuationSeparator" w:id="0">
    <w:p w14:paraId="3FF8DD27" w14:textId="77777777" w:rsidR="001765D0" w:rsidRDefault="001765D0" w:rsidP="001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56207" w14:textId="77777777" w:rsidR="00C33490" w:rsidRPr="0074053C" w:rsidRDefault="00C33490" w:rsidP="00C33490">
    <w:pPr>
      <w:pStyle w:val="Footer"/>
      <w:jc w:val="cen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>
      <w:rPr>
        <w:rFonts w:eastAsia="MS Mincho" w:cs="OpenSans"/>
        <w:b/>
        <w:color w:val="353535"/>
      </w:rPr>
      <w:t>Failure isn’t fatal, but failure to change might be.”</w:t>
    </w:r>
  </w:p>
  <w:p w14:paraId="659BF6B7" w14:textId="7F31B158" w:rsidR="00DC69B7" w:rsidRPr="00C33490" w:rsidRDefault="00C33490" w:rsidP="00C33490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>
      <w:rPr>
        <w:rFonts w:eastAsia="MS Mincho" w:cs="Trebuchet MS"/>
        <w:b/>
        <w:color w:val="293144"/>
      </w:rPr>
      <w:t xml:space="preserve"> John Wooden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9FBFB" w14:textId="77777777" w:rsidR="001765D0" w:rsidRDefault="001765D0" w:rsidP="001F4DE6">
      <w:pPr>
        <w:spacing w:after="0" w:line="240" w:lineRule="auto"/>
      </w:pPr>
      <w:r>
        <w:separator/>
      </w:r>
    </w:p>
  </w:footnote>
  <w:footnote w:type="continuationSeparator" w:id="0">
    <w:p w14:paraId="71223BC3" w14:textId="77777777" w:rsidR="001765D0" w:rsidRDefault="001765D0" w:rsidP="001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06" w14:textId="77777777" w:rsidR="00DC69B7" w:rsidRPr="00A77285" w:rsidRDefault="00DC69B7" w:rsidP="00F4140B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64A10947" w14:textId="00DFB023" w:rsidR="00DC69B7" w:rsidRPr="00A77285" w:rsidRDefault="00CB24CA" w:rsidP="00F4140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3</w:t>
    </w:r>
    <w:r w:rsidR="002D2EA4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April 7</w:t>
    </w:r>
    <w:r w:rsidR="00DC69B7">
      <w:rPr>
        <w:b/>
        <w:sz w:val="32"/>
        <w:szCs w:val="32"/>
        <w:u w:val="single"/>
      </w:rPr>
      <w:t>, 2017</w:t>
    </w:r>
  </w:p>
  <w:p w14:paraId="10EDE57A" w14:textId="77777777" w:rsidR="00DC69B7" w:rsidRPr="00A77285" w:rsidRDefault="00DC69B7" w:rsidP="00F4140B">
    <w:pPr>
      <w:pStyle w:val="Header"/>
      <w:jc w:val="center"/>
      <w:rPr>
        <w:b/>
        <w:sz w:val="28"/>
        <w:szCs w:val="28"/>
        <w:u w:val="single"/>
      </w:rPr>
    </w:pPr>
  </w:p>
  <w:p w14:paraId="11893664" w14:textId="77777777" w:rsidR="00DC69B7" w:rsidRPr="00A77285" w:rsidRDefault="00DC69B7">
    <w:pPr>
      <w:pStyle w:val="Header"/>
      <w:rPr>
        <w:b/>
        <w:sz w:val="26"/>
        <w:szCs w:val="26"/>
      </w:rPr>
    </w:pPr>
    <w:r w:rsidRPr="00A77285">
      <w:rPr>
        <w:b/>
        <w:sz w:val="26"/>
        <w:szCs w:val="26"/>
      </w:rPr>
      <w:t xml:space="preserve">Miss Golden </w:t>
    </w:r>
    <w:r w:rsidRPr="00A77285">
      <w:rPr>
        <w:b/>
        <w:sz w:val="26"/>
        <w:szCs w:val="26"/>
      </w:rPr>
      <w:tab/>
      <w:t xml:space="preserve">                            </w:t>
    </w:r>
    <w:r>
      <w:rPr>
        <w:b/>
        <w:sz w:val="26"/>
        <w:szCs w:val="26"/>
      </w:rPr>
      <w:t xml:space="preserve">                   </w:t>
    </w:r>
    <w:r w:rsidRPr="00A77285">
      <w:rPr>
        <w:b/>
        <w:sz w:val="26"/>
        <w:szCs w:val="26"/>
      </w:rPr>
      <w:t xml:space="preserve">Media Arts                       </w:t>
    </w:r>
    <w:r>
      <w:rPr>
        <w:b/>
        <w:sz w:val="26"/>
        <w:szCs w:val="26"/>
      </w:rPr>
      <w:t xml:space="preserve">          </w:t>
    </w:r>
    <w:r w:rsidRPr="00A77285">
      <w:rPr>
        <w:b/>
        <w:sz w:val="26"/>
        <w:szCs w:val="26"/>
      </w:rPr>
      <w:t>1</w:t>
    </w:r>
    <w:r w:rsidRPr="00A77285">
      <w:rPr>
        <w:b/>
        <w:sz w:val="26"/>
        <w:szCs w:val="26"/>
        <w:vertAlign w:val="superscript"/>
      </w:rPr>
      <w:t>st</w:t>
    </w:r>
    <w:r w:rsidRPr="00A77285">
      <w:rPr>
        <w:b/>
        <w:sz w:val="26"/>
        <w:szCs w:val="26"/>
      </w:rPr>
      <w:t xml:space="preserve"> &amp; </w:t>
    </w:r>
    <w:r>
      <w:rPr>
        <w:b/>
        <w:sz w:val="26"/>
        <w:szCs w:val="26"/>
      </w:rPr>
      <w:t>6</w:t>
    </w:r>
    <w:r w:rsidRPr="00230670">
      <w:rPr>
        <w:b/>
        <w:sz w:val="26"/>
        <w:szCs w:val="26"/>
        <w:vertAlign w:val="superscript"/>
      </w:rPr>
      <w:t>th</w:t>
    </w:r>
    <w:r w:rsidRPr="00A77285"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B"/>
    <w:multiLevelType w:val="hybridMultilevel"/>
    <w:tmpl w:val="5002ECE2"/>
    <w:lvl w:ilvl="0" w:tplc="29A868E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D407872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0E72E5E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9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4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3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F75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9C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6B7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205F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E5B1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01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40024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53462B1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56F24C2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588D63E3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43BD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445C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4EA2B0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65B8120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629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26BB5"/>
    <w:multiLevelType w:val="hybridMultilevel"/>
    <w:tmpl w:val="87984BE6"/>
    <w:lvl w:ilvl="0" w:tplc="4B2AFA12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>
    <w:nsid w:val="76DB7AD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E545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30F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23"/>
  </w:num>
  <w:num w:numId="9">
    <w:abstractNumId w:val="5"/>
  </w:num>
  <w:num w:numId="10">
    <w:abstractNumId w:val="10"/>
  </w:num>
  <w:num w:numId="11">
    <w:abstractNumId w:val="22"/>
  </w:num>
  <w:num w:numId="12">
    <w:abstractNumId w:val="11"/>
  </w:num>
  <w:num w:numId="13">
    <w:abstractNumId w:val="13"/>
  </w:num>
  <w:num w:numId="14">
    <w:abstractNumId w:val="8"/>
  </w:num>
  <w:num w:numId="15">
    <w:abstractNumId w:val="18"/>
  </w:num>
  <w:num w:numId="16">
    <w:abstractNumId w:val="4"/>
  </w:num>
  <w:num w:numId="17">
    <w:abstractNumId w:val="26"/>
  </w:num>
  <w:num w:numId="18">
    <w:abstractNumId w:val="27"/>
  </w:num>
  <w:num w:numId="19">
    <w:abstractNumId w:val="14"/>
  </w:num>
  <w:num w:numId="20">
    <w:abstractNumId w:val="0"/>
  </w:num>
  <w:num w:numId="21">
    <w:abstractNumId w:val="15"/>
  </w:num>
  <w:num w:numId="22">
    <w:abstractNumId w:val="9"/>
  </w:num>
  <w:num w:numId="23">
    <w:abstractNumId w:val="20"/>
  </w:num>
  <w:num w:numId="24">
    <w:abstractNumId w:val="24"/>
  </w:num>
  <w:num w:numId="25">
    <w:abstractNumId w:val="21"/>
  </w:num>
  <w:num w:numId="26">
    <w:abstractNumId w:val="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6"/>
    <w:rsid w:val="001765D0"/>
    <w:rsid w:val="001B2647"/>
    <w:rsid w:val="001F4DE6"/>
    <w:rsid w:val="00200EC0"/>
    <w:rsid w:val="00246A91"/>
    <w:rsid w:val="002620E3"/>
    <w:rsid w:val="00277D78"/>
    <w:rsid w:val="002A39E3"/>
    <w:rsid w:val="002C5814"/>
    <w:rsid w:val="002D2EA4"/>
    <w:rsid w:val="00354C8F"/>
    <w:rsid w:val="00360BD1"/>
    <w:rsid w:val="003636F4"/>
    <w:rsid w:val="003A33CE"/>
    <w:rsid w:val="003B3FB2"/>
    <w:rsid w:val="003C225D"/>
    <w:rsid w:val="003C6728"/>
    <w:rsid w:val="003E69B8"/>
    <w:rsid w:val="00497523"/>
    <w:rsid w:val="004A60D7"/>
    <w:rsid w:val="004D02C5"/>
    <w:rsid w:val="00511D1D"/>
    <w:rsid w:val="00536246"/>
    <w:rsid w:val="00566440"/>
    <w:rsid w:val="005958F5"/>
    <w:rsid w:val="005A25FF"/>
    <w:rsid w:val="005A2B06"/>
    <w:rsid w:val="005F0BFF"/>
    <w:rsid w:val="005F396B"/>
    <w:rsid w:val="0060460A"/>
    <w:rsid w:val="00660A90"/>
    <w:rsid w:val="00664A83"/>
    <w:rsid w:val="006A0A13"/>
    <w:rsid w:val="006E184F"/>
    <w:rsid w:val="007537B8"/>
    <w:rsid w:val="00755487"/>
    <w:rsid w:val="007806B4"/>
    <w:rsid w:val="007A1E2A"/>
    <w:rsid w:val="007D73D5"/>
    <w:rsid w:val="008769A1"/>
    <w:rsid w:val="008A6D19"/>
    <w:rsid w:val="008B6651"/>
    <w:rsid w:val="008E1721"/>
    <w:rsid w:val="008F698D"/>
    <w:rsid w:val="00906A92"/>
    <w:rsid w:val="009137C6"/>
    <w:rsid w:val="00957BA2"/>
    <w:rsid w:val="009C2C51"/>
    <w:rsid w:val="00A16471"/>
    <w:rsid w:val="00B1640F"/>
    <w:rsid w:val="00B24869"/>
    <w:rsid w:val="00BF750C"/>
    <w:rsid w:val="00C33490"/>
    <w:rsid w:val="00CB24CA"/>
    <w:rsid w:val="00CC5C9A"/>
    <w:rsid w:val="00CF5392"/>
    <w:rsid w:val="00D3578B"/>
    <w:rsid w:val="00D6727F"/>
    <w:rsid w:val="00DC69B7"/>
    <w:rsid w:val="00DE4174"/>
    <w:rsid w:val="00DE6953"/>
    <w:rsid w:val="00DE6B7A"/>
    <w:rsid w:val="00E35D20"/>
    <w:rsid w:val="00E4195D"/>
    <w:rsid w:val="00E5623B"/>
    <w:rsid w:val="00E62642"/>
    <w:rsid w:val="00E83815"/>
    <w:rsid w:val="00EC4529"/>
    <w:rsid w:val="00ED37E8"/>
    <w:rsid w:val="00F4140B"/>
    <w:rsid w:val="00F43C38"/>
    <w:rsid w:val="00FA0B88"/>
    <w:rsid w:val="00FA4FFE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oldensclass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46</cp:revision>
  <cp:lastPrinted>2017-03-24T22:26:00Z</cp:lastPrinted>
  <dcterms:created xsi:type="dcterms:W3CDTF">2017-01-20T23:38:00Z</dcterms:created>
  <dcterms:modified xsi:type="dcterms:W3CDTF">2017-03-31T23:31:00Z</dcterms:modified>
</cp:coreProperties>
</file>